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aambq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03"/>
        <w:gridCol w:w="5303"/>
      </w:tblGrid>
      <w:tr w:rsidR="00F64E43" w:rsidRPr="00F64E43" w14:paraId="7981BC01" w14:textId="77777777" w:rsidTr="00277C85">
        <w:tc>
          <w:tcPr>
            <w:tcW w:w="5303" w:type="dxa"/>
          </w:tcPr>
          <w:p w14:paraId="441C8E72" w14:textId="64ADEB24" w:rsidR="00F64E43" w:rsidRPr="00F64E43" w:rsidRDefault="00DE458B" w:rsidP="00DE458B">
            <w:pPr>
              <w:jc w:val="center"/>
            </w:pPr>
            <w:r>
              <w:rPr>
                <w:noProof/>
              </w:rPr>
              <w:drawing>
                <wp:inline distT="0" distB="0" distL="0" distR="0" wp14:anchorId="7F229E70" wp14:editId="4B2720FF">
                  <wp:extent cx="2314575" cy="1216805"/>
                  <wp:effectExtent l="0" t="0" r="0" b="0"/>
                  <wp:docPr id="379574275" name="Imatge 1" descr="Imatge que conté text, Font, logotip, Gràfics&#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74275" name="Imatge 1" descr="Imatge que conté text, Font, logotip, Gràfics&#10;&#10;Pot ser que el contingut generat amb IA no sigui correcte."/>
                          <pic:cNvPicPr/>
                        </pic:nvPicPr>
                        <pic:blipFill>
                          <a:blip r:embed="rId8">
                            <a:extLst>
                              <a:ext uri="{28A0092B-C50C-407E-A947-70E740481C1C}">
                                <a14:useLocalDpi xmlns:a14="http://schemas.microsoft.com/office/drawing/2010/main" val="0"/>
                              </a:ext>
                            </a:extLst>
                          </a:blip>
                          <a:stretch>
                            <a:fillRect/>
                          </a:stretch>
                        </pic:blipFill>
                        <pic:spPr>
                          <a:xfrm>
                            <a:off x="0" y="0"/>
                            <a:ext cx="2330972" cy="1225425"/>
                          </a:xfrm>
                          <a:prstGeom prst="rect">
                            <a:avLst/>
                          </a:prstGeom>
                        </pic:spPr>
                      </pic:pic>
                    </a:graphicData>
                  </a:graphic>
                </wp:inline>
              </w:drawing>
            </w:r>
          </w:p>
        </w:tc>
        <w:tc>
          <w:tcPr>
            <w:tcW w:w="5303" w:type="dxa"/>
          </w:tcPr>
          <w:p w14:paraId="2A6B1B91" w14:textId="77777777" w:rsidR="00DE458B" w:rsidRDefault="00DE458B" w:rsidP="00DE458B">
            <w:pPr>
              <w:pStyle w:val="Ttol3"/>
            </w:pPr>
          </w:p>
          <w:p w14:paraId="1DAFBC23" w14:textId="77777777" w:rsidR="00DE458B" w:rsidRDefault="00DE458B" w:rsidP="00F02902">
            <w:pPr>
              <w:pStyle w:val="Ttol3"/>
              <w:jc w:val="left"/>
            </w:pPr>
          </w:p>
          <w:p w14:paraId="6E736B21" w14:textId="77777777" w:rsidR="00DE458B" w:rsidRDefault="00DE458B" w:rsidP="00DE458B">
            <w:pPr>
              <w:pStyle w:val="Ttol3"/>
            </w:pPr>
          </w:p>
          <w:p w14:paraId="40D654D8" w14:textId="79D1533E" w:rsidR="00F64E43" w:rsidRPr="00DE458B" w:rsidRDefault="00DE458B" w:rsidP="00DE458B">
            <w:pPr>
              <w:pStyle w:val="Ttol3"/>
            </w:pPr>
            <w:r w:rsidRPr="00DE458B">
              <w:t xml:space="preserve">Nota de </w:t>
            </w:r>
            <w:proofErr w:type="spellStart"/>
            <w:r w:rsidRPr="00DE458B">
              <w:t>prensa</w:t>
            </w:r>
            <w:proofErr w:type="spellEnd"/>
            <w:r w:rsidRPr="00DE458B">
              <w:t xml:space="preserve"> de la Sociedad Española de Medicina  de </w:t>
            </w:r>
            <w:proofErr w:type="spellStart"/>
            <w:r w:rsidRPr="00DE458B">
              <w:t>Familia</w:t>
            </w:r>
            <w:proofErr w:type="spellEnd"/>
            <w:r w:rsidRPr="00DE458B">
              <w:t xml:space="preserve"> y </w:t>
            </w:r>
            <w:proofErr w:type="spellStart"/>
            <w:r w:rsidRPr="00DE458B">
              <w:t>Comunitaria</w:t>
            </w:r>
            <w:proofErr w:type="spellEnd"/>
          </w:p>
        </w:tc>
      </w:tr>
      <w:tr w:rsidR="00F64E43" w:rsidRPr="00F64E43" w14:paraId="558F127D" w14:textId="77777777" w:rsidTr="00277C85">
        <w:tc>
          <w:tcPr>
            <w:tcW w:w="10606" w:type="dxa"/>
            <w:gridSpan w:val="2"/>
          </w:tcPr>
          <w:p w14:paraId="011674E4" w14:textId="77777777" w:rsidR="00F64E43" w:rsidRPr="00F64E43" w:rsidRDefault="00F64E43" w:rsidP="00F64E43"/>
        </w:tc>
      </w:tr>
      <w:tr w:rsidR="00F64E43" w:rsidRPr="00F64E43" w14:paraId="44935318" w14:textId="77777777" w:rsidTr="00277C85">
        <w:tc>
          <w:tcPr>
            <w:tcW w:w="10606" w:type="dxa"/>
            <w:gridSpan w:val="2"/>
          </w:tcPr>
          <w:p w14:paraId="142AAF4A" w14:textId="7AF87C83" w:rsidR="00F64E43" w:rsidRPr="00D17EE8" w:rsidRDefault="00F64E43" w:rsidP="00D17EE8">
            <w:pPr>
              <w:pStyle w:val="Ttol"/>
            </w:pPr>
            <w:r w:rsidRPr="00D17EE8">
              <w:t xml:space="preserve">La semFYC convoca el primer congreso </w:t>
            </w:r>
            <w:proofErr w:type="spellStart"/>
            <w:r w:rsidRPr="00D17EE8">
              <w:t>gamificado</w:t>
            </w:r>
            <w:proofErr w:type="spellEnd"/>
            <w:r w:rsidRPr="00D17EE8">
              <w:t xml:space="preserve"> para residentes de Medicina Familiar y Comunitaria, sin reserva de plaza ni listas de espera</w:t>
            </w:r>
          </w:p>
        </w:tc>
      </w:tr>
      <w:tr w:rsidR="00F64E43" w:rsidRPr="00F64E43" w14:paraId="696B1B16" w14:textId="77777777" w:rsidTr="00277C85">
        <w:tc>
          <w:tcPr>
            <w:tcW w:w="10606" w:type="dxa"/>
            <w:gridSpan w:val="2"/>
          </w:tcPr>
          <w:p w14:paraId="62E795CF" w14:textId="77777777" w:rsidR="00F64E43" w:rsidRPr="00F64E43" w:rsidRDefault="00F64E43" w:rsidP="00F64E43"/>
        </w:tc>
      </w:tr>
      <w:tr w:rsidR="00F64E43" w:rsidRPr="00F64E43" w14:paraId="184BC6F8" w14:textId="77777777" w:rsidTr="00277C85">
        <w:tc>
          <w:tcPr>
            <w:tcW w:w="10606" w:type="dxa"/>
            <w:gridSpan w:val="2"/>
          </w:tcPr>
          <w:p w14:paraId="3AACF550" w14:textId="51336B5D" w:rsidR="00F64E43" w:rsidRPr="00F64E43" w:rsidRDefault="00F64E43" w:rsidP="00F64E43">
            <w:pPr>
              <w:pStyle w:val="Pargrafdellista"/>
              <w:numPr>
                <w:ilvl w:val="0"/>
                <w:numId w:val="1"/>
              </w:numPr>
              <w:rPr>
                <w:sz w:val="28"/>
                <w:szCs w:val="28"/>
                <w:lang w:val="es-ES"/>
              </w:rPr>
            </w:pPr>
            <w:r w:rsidRPr="001C3025">
              <w:rPr>
                <w:sz w:val="28"/>
                <w:szCs w:val="28"/>
                <w:lang w:val="es-ES"/>
              </w:rPr>
              <w:t>El formato del congreso limita a 300 las plazas disponibles para inscripciones.</w:t>
            </w:r>
          </w:p>
        </w:tc>
      </w:tr>
      <w:tr w:rsidR="00F64E43" w:rsidRPr="00F64E43" w14:paraId="12546126" w14:textId="77777777" w:rsidTr="00277C85">
        <w:tc>
          <w:tcPr>
            <w:tcW w:w="10606" w:type="dxa"/>
            <w:gridSpan w:val="2"/>
          </w:tcPr>
          <w:p w14:paraId="7F2A3C33" w14:textId="77777777" w:rsidR="00F64E43" w:rsidRPr="00F64E43" w:rsidRDefault="00F64E43" w:rsidP="00F64E43"/>
        </w:tc>
      </w:tr>
      <w:tr w:rsidR="00F64E43" w:rsidRPr="00F64E43" w14:paraId="150D053A" w14:textId="77777777" w:rsidTr="00277C85">
        <w:tc>
          <w:tcPr>
            <w:tcW w:w="10606" w:type="dxa"/>
            <w:gridSpan w:val="2"/>
          </w:tcPr>
          <w:p w14:paraId="2F8ED1A2" w14:textId="7B20AB5B" w:rsidR="00F64E43" w:rsidRPr="009945B2" w:rsidRDefault="00D17EE8" w:rsidP="00F02902">
            <w:pPr>
              <w:jc w:val="both"/>
              <w:rPr>
                <w:b/>
                <w:bCs/>
                <w:lang w:val="es-ES"/>
              </w:rPr>
            </w:pPr>
            <w:r>
              <w:rPr>
                <w:b/>
                <w:bCs/>
                <w:lang w:val="es-ES"/>
              </w:rPr>
              <w:t xml:space="preserve">Albacete, </w:t>
            </w:r>
            <w:r w:rsidR="009945B2">
              <w:rPr>
                <w:b/>
                <w:bCs/>
                <w:lang w:val="es-ES"/>
              </w:rPr>
              <w:t xml:space="preserve">24 de febrero de 2025. </w:t>
            </w:r>
            <w:r w:rsidRPr="00FD2845">
              <w:rPr>
                <w:b/>
                <w:bCs/>
                <w:lang w:val="es-ES"/>
              </w:rPr>
              <w:t>La Sociedad Española de Medicina Familiar y Comunitaria (semFYC) organiza en Albacete la tercera edición del Congreso de Residentes, Tutores, Jóvenes Médicos de Familia y Unidades Docentes. Se trata de un evento pionero que, por primera vez, introduce la gamificación como metodología clave para la formación de los asistentes.</w:t>
            </w:r>
            <w:r>
              <w:rPr>
                <w:b/>
                <w:bCs/>
                <w:lang w:val="es-ES"/>
              </w:rPr>
              <w:t xml:space="preserve"> </w:t>
            </w:r>
            <w:r w:rsidRPr="00A53166">
              <w:rPr>
                <w:b/>
                <w:bCs/>
                <w:lang w:val="es-ES"/>
              </w:rPr>
              <w:t xml:space="preserve">La Universidad de Albacete será la sede, entre </w:t>
            </w:r>
            <w:r w:rsidR="000A118B">
              <w:rPr>
                <w:b/>
                <w:bCs/>
                <w:lang w:val="es-ES"/>
              </w:rPr>
              <w:t>6</w:t>
            </w:r>
            <w:r w:rsidRPr="00A53166">
              <w:rPr>
                <w:b/>
                <w:bCs/>
                <w:lang w:val="es-ES"/>
              </w:rPr>
              <w:t xml:space="preserve"> y </w:t>
            </w:r>
            <w:r w:rsidR="000A118B">
              <w:rPr>
                <w:b/>
                <w:bCs/>
                <w:lang w:val="es-ES"/>
              </w:rPr>
              <w:t>7</w:t>
            </w:r>
            <w:r w:rsidRPr="00A53166">
              <w:rPr>
                <w:b/>
                <w:bCs/>
                <w:lang w:val="es-ES"/>
              </w:rPr>
              <w:t xml:space="preserve"> de junio de 2025, de este congreso que reúne a residentes, tutores, jóvenes médicos de familia y a las unidades docentes de todo el territorio. Es la primera vez que Castilla-La Mancha acoge el encuentro.</w:t>
            </w:r>
          </w:p>
        </w:tc>
      </w:tr>
      <w:tr w:rsidR="00F64E43" w:rsidRPr="00F64E43" w14:paraId="6A768D17" w14:textId="77777777" w:rsidTr="00277C85">
        <w:tc>
          <w:tcPr>
            <w:tcW w:w="10606" w:type="dxa"/>
            <w:gridSpan w:val="2"/>
          </w:tcPr>
          <w:p w14:paraId="26CEE6BC" w14:textId="77777777" w:rsidR="00F64E43" w:rsidRPr="00F64E43" w:rsidRDefault="00F64E43" w:rsidP="00F02902">
            <w:pPr>
              <w:jc w:val="both"/>
            </w:pPr>
          </w:p>
        </w:tc>
      </w:tr>
      <w:tr w:rsidR="00F64E43" w:rsidRPr="00F64E43" w14:paraId="05C7233B" w14:textId="77777777" w:rsidTr="00277C85">
        <w:tc>
          <w:tcPr>
            <w:tcW w:w="10606" w:type="dxa"/>
            <w:gridSpan w:val="2"/>
          </w:tcPr>
          <w:p w14:paraId="42B0A0FE" w14:textId="77777777" w:rsidR="009945B2" w:rsidRDefault="009945B2" w:rsidP="00F02902">
            <w:pPr>
              <w:jc w:val="both"/>
              <w:rPr>
                <w:lang w:val="es-ES"/>
              </w:rPr>
            </w:pPr>
            <w:r w:rsidRPr="21009C37">
              <w:rPr>
                <w:lang w:val="es-ES"/>
              </w:rPr>
              <w:t xml:space="preserve">El congreso que tendrá lugar en la Universidad de Albacete  se consolidará como un punto de encuentro clave para la formación en Medicina Familiar y Comunitaria.  La principal novedad de esta edición es su estructura </w:t>
            </w:r>
            <w:proofErr w:type="spellStart"/>
            <w:r w:rsidRPr="00755DA7">
              <w:rPr>
                <w:i/>
                <w:iCs/>
                <w:lang w:val="es-ES"/>
              </w:rPr>
              <w:t>gamificada</w:t>
            </w:r>
            <w:proofErr w:type="spellEnd"/>
            <w:r w:rsidRPr="21009C37">
              <w:rPr>
                <w:lang w:val="es-ES"/>
              </w:rPr>
              <w:t>, que permitirá a las personas que asistan participar de manera rotativa en todas las actividades programadas, sin listas de espera ni necesidad de reservar plazas con antelación.</w:t>
            </w:r>
          </w:p>
          <w:p w14:paraId="2CB55C3F" w14:textId="77777777" w:rsidR="009945B2" w:rsidRDefault="009945B2" w:rsidP="00F02902">
            <w:pPr>
              <w:jc w:val="both"/>
              <w:rPr>
                <w:lang w:val="es-ES"/>
              </w:rPr>
            </w:pPr>
          </w:p>
          <w:p w14:paraId="2DD01DD6" w14:textId="0D1D00D3" w:rsidR="009945B2" w:rsidRDefault="009945B2" w:rsidP="00F02902">
            <w:pPr>
              <w:jc w:val="both"/>
              <w:rPr>
                <w:lang w:val="es-ES"/>
              </w:rPr>
            </w:pPr>
            <w:r w:rsidRPr="4317765B">
              <w:rPr>
                <w:lang w:val="es-ES"/>
              </w:rPr>
              <w:t xml:space="preserve">"El formato tradicional de los congresos suele generar dificultades a la hora de acceder a ciertos talleres por falta de plazas; además es uno de los temas que genera más descontento entre las personas que asisten. Con este nuevo enfoque, garantizamos que todas las personas puedan participar activamente en cada una de las actividades propuestas", explica la médica albacetense María del Campo, coordinadora del comité científico del congreso. </w:t>
            </w:r>
          </w:p>
          <w:p w14:paraId="60953D06" w14:textId="77777777" w:rsidR="009945B2" w:rsidRPr="00E73197" w:rsidRDefault="009945B2" w:rsidP="00F02902">
            <w:pPr>
              <w:jc w:val="both"/>
              <w:rPr>
                <w:lang w:val="es-ES"/>
              </w:rPr>
            </w:pPr>
          </w:p>
          <w:p w14:paraId="24156C91" w14:textId="77777777" w:rsidR="009945B2" w:rsidRPr="00252123" w:rsidRDefault="009945B2" w:rsidP="00F02902">
            <w:pPr>
              <w:jc w:val="both"/>
              <w:rPr>
                <w:lang w:val="es-ES"/>
              </w:rPr>
            </w:pPr>
            <w:r w:rsidRPr="00E73197">
              <w:rPr>
                <w:lang w:val="es-ES"/>
              </w:rPr>
              <w:t xml:space="preserve">El programa incluye talleres prácticos y simulaciones realistas en áreas clave como urgencias, ecografía en consulta y habilidades clínicas. </w:t>
            </w:r>
            <w:r>
              <w:rPr>
                <w:lang w:val="es-ES"/>
              </w:rPr>
              <w:t xml:space="preserve">Los talleres también echan una mirada al futuro, pues incorporan contenidos sobre salud planetaria, una de las cuestiones que aquellas personas que ejercen de médicos y médicas de familia en el futuro deberán tener habilidades de detectar y tratar. </w:t>
            </w:r>
            <w:r w:rsidRPr="00E73197">
              <w:rPr>
                <w:lang w:val="es-ES"/>
              </w:rPr>
              <w:t>C</w:t>
            </w:r>
            <w:r>
              <w:rPr>
                <w:lang w:val="es-ES"/>
              </w:rPr>
              <w:t>omo hilo narrativo, c</w:t>
            </w:r>
            <w:r w:rsidRPr="00E73197">
              <w:rPr>
                <w:lang w:val="es-ES"/>
              </w:rPr>
              <w:t xml:space="preserve">ada uno de estos espacios formativos tomará como referencia episodios de la novela Don Quijote de la Mancha, estableciendo un paralelismo entre la formación médica y el icónico viaje del personaje </w:t>
            </w:r>
            <w:r w:rsidRPr="00252123">
              <w:rPr>
                <w:lang w:val="es-ES"/>
              </w:rPr>
              <w:t>castellano manchego de Cervantes.</w:t>
            </w:r>
          </w:p>
          <w:p w14:paraId="64F2B7A3" w14:textId="77777777" w:rsidR="009945B2" w:rsidRDefault="009945B2" w:rsidP="00F02902">
            <w:pPr>
              <w:jc w:val="both"/>
              <w:rPr>
                <w:lang w:val="es-ES"/>
              </w:rPr>
            </w:pPr>
            <w:r w:rsidRPr="00252123">
              <w:rPr>
                <w:lang w:val="es-ES"/>
              </w:rPr>
              <w:t>"Hemos diseñado un itinerario formativo que permita a los asistentes recorrer diferentes áreas de conocimiento de forma dinámica, trabajando en equipo y potenciando el aprendizaje experiencial", señala del Campo.</w:t>
            </w:r>
          </w:p>
          <w:p w14:paraId="7FD93573" w14:textId="77777777" w:rsidR="009945B2" w:rsidRPr="001A3E6E" w:rsidRDefault="009945B2" w:rsidP="00F02902">
            <w:pPr>
              <w:jc w:val="both"/>
              <w:rPr>
                <w:lang w:val="es-ES"/>
              </w:rPr>
            </w:pPr>
          </w:p>
          <w:p w14:paraId="4E7BD490" w14:textId="77777777" w:rsidR="009945B2" w:rsidRDefault="009945B2" w:rsidP="00F02902">
            <w:pPr>
              <w:jc w:val="both"/>
              <w:rPr>
                <w:b/>
                <w:bCs/>
                <w:lang w:val="es-ES"/>
              </w:rPr>
            </w:pPr>
            <w:r w:rsidRPr="00FD2845">
              <w:rPr>
                <w:b/>
                <w:bCs/>
                <w:lang w:val="es-ES"/>
              </w:rPr>
              <w:t>Un congreso diseñado para residentes y jóvenes médicos de familia</w:t>
            </w:r>
          </w:p>
          <w:p w14:paraId="3B593265" w14:textId="77777777" w:rsidR="009945B2" w:rsidRPr="00FD2845" w:rsidRDefault="009945B2" w:rsidP="00F02902">
            <w:pPr>
              <w:jc w:val="both"/>
              <w:rPr>
                <w:b/>
                <w:bCs/>
                <w:lang w:val="es-ES"/>
              </w:rPr>
            </w:pPr>
          </w:p>
          <w:p w14:paraId="7F9664D0" w14:textId="77777777" w:rsidR="009945B2" w:rsidRDefault="009945B2" w:rsidP="00F02902">
            <w:pPr>
              <w:jc w:val="both"/>
              <w:rPr>
                <w:lang w:val="es-ES"/>
              </w:rPr>
            </w:pPr>
            <w:r w:rsidRPr="001A3E6E">
              <w:rPr>
                <w:lang w:val="es-ES"/>
              </w:rPr>
              <w:t>El congreso está dirigido principalmente a residentes de Medicina Familiar y Comunitaria, aunque también contará con la participación de tutores, jóvenes especialistas y coordinadores de unidades docentes.</w:t>
            </w:r>
          </w:p>
          <w:p w14:paraId="3963BEFB" w14:textId="77777777" w:rsidR="00F02902" w:rsidRPr="001A3E6E" w:rsidRDefault="00F02902" w:rsidP="00F02902">
            <w:pPr>
              <w:jc w:val="both"/>
              <w:rPr>
                <w:lang w:val="es-ES"/>
              </w:rPr>
            </w:pPr>
          </w:p>
          <w:p w14:paraId="0BA9A261" w14:textId="00D0A494" w:rsidR="00F64E43" w:rsidRPr="00DF3C76" w:rsidRDefault="009945B2" w:rsidP="00F02902">
            <w:pPr>
              <w:jc w:val="both"/>
              <w:rPr>
                <w:lang w:val="es-ES"/>
              </w:rPr>
            </w:pPr>
            <w:r w:rsidRPr="001A3E6E">
              <w:rPr>
                <w:lang w:val="es-ES"/>
              </w:rPr>
              <w:t>Entre los objetivos del evento destacan la actualización en competencias clave, la generación de redes de contacto entre profesionales de distintas comunidades autónomas y la implicación activa de los asistentes en la producción científica, fomentando la presentación de comunicaciones de calidad.</w:t>
            </w:r>
          </w:p>
        </w:tc>
      </w:tr>
      <w:tr w:rsidR="00F64E43" w:rsidRPr="00F64E43" w14:paraId="776D3659" w14:textId="77777777" w:rsidTr="00277C85">
        <w:tc>
          <w:tcPr>
            <w:tcW w:w="10606" w:type="dxa"/>
            <w:gridSpan w:val="2"/>
          </w:tcPr>
          <w:p w14:paraId="44046395" w14:textId="77777777" w:rsidR="00F64E43" w:rsidRPr="00F64E43" w:rsidRDefault="00F64E43" w:rsidP="00F64E43"/>
        </w:tc>
      </w:tr>
      <w:tr w:rsidR="00F64E43" w:rsidRPr="00F02902" w14:paraId="0E6C314B" w14:textId="77777777" w:rsidTr="00277C85">
        <w:tc>
          <w:tcPr>
            <w:tcW w:w="10606" w:type="dxa"/>
            <w:gridSpan w:val="2"/>
          </w:tcPr>
          <w:p w14:paraId="66948B05" w14:textId="77777777" w:rsidR="00F02902" w:rsidRPr="00F02902" w:rsidRDefault="00F02902" w:rsidP="00F02902">
            <w:pPr>
              <w:rPr>
                <w:b/>
                <w:bCs/>
                <w:sz w:val="20"/>
                <w:szCs w:val="20"/>
              </w:rPr>
            </w:pPr>
            <w:r w:rsidRPr="00F02902">
              <w:rPr>
                <w:b/>
                <w:bCs/>
                <w:sz w:val="20"/>
                <w:szCs w:val="20"/>
              </w:rPr>
              <w:lastRenderedPageBreak/>
              <w:t>SOCIEDAD ESPAÑOLA DE MEDICINA DE FAMILIA Y COMUNITARIA (SEMFYC)</w:t>
            </w:r>
            <w:r w:rsidRPr="00F02902">
              <w:rPr>
                <w:rFonts w:ascii="Arial" w:hAnsi="Arial" w:cs="Arial"/>
                <w:b/>
                <w:bCs/>
                <w:sz w:val="20"/>
                <w:szCs w:val="20"/>
              </w:rPr>
              <w:t>  </w:t>
            </w:r>
            <w:r w:rsidRPr="00F02902">
              <w:rPr>
                <w:b/>
                <w:bCs/>
                <w:sz w:val="20"/>
                <w:szCs w:val="20"/>
              </w:rPr>
              <w:t xml:space="preserve"> </w:t>
            </w:r>
          </w:p>
          <w:p w14:paraId="6A530824" w14:textId="364C8459" w:rsidR="00F64E43" w:rsidRPr="00F02902" w:rsidRDefault="00F02902" w:rsidP="00F02902">
            <w:pPr>
              <w:rPr>
                <w:b/>
                <w:bCs/>
                <w:sz w:val="20"/>
                <w:szCs w:val="20"/>
              </w:rPr>
            </w:pPr>
            <w:r w:rsidRPr="00F02902">
              <w:rPr>
                <w:b/>
                <w:bCs/>
                <w:sz w:val="20"/>
                <w:szCs w:val="20"/>
              </w:rPr>
              <w:t xml:space="preserve">La semFYC es la </w:t>
            </w:r>
            <w:proofErr w:type="spellStart"/>
            <w:r w:rsidRPr="00F02902">
              <w:rPr>
                <w:b/>
                <w:bCs/>
                <w:sz w:val="20"/>
                <w:szCs w:val="20"/>
              </w:rPr>
              <w:t>federación</w:t>
            </w:r>
            <w:proofErr w:type="spellEnd"/>
            <w:r w:rsidRPr="00F02902">
              <w:rPr>
                <w:b/>
                <w:bCs/>
                <w:sz w:val="20"/>
                <w:szCs w:val="20"/>
              </w:rPr>
              <w:t xml:space="preserve"> de las 17 </w:t>
            </w:r>
            <w:proofErr w:type="spellStart"/>
            <w:r w:rsidRPr="00F02902">
              <w:rPr>
                <w:b/>
                <w:bCs/>
                <w:sz w:val="20"/>
                <w:szCs w:val="20"/>
              </w:rPr>
              <w:t>Sociedades</w:t>
            </w:r>
            <w:proofErr w:type="spellEnd"/>
            <w:r w:rsidRPr="00F02902">
              <w:rPr>
                <w:b/>
                <w:bCs/>
                <w:sz w:val="20"/>
                <w:szCs w:val="20"/>
              </w:rPr>
              <w:t xml:space="preserve"> de Medicina de </w:t>
            </w:r>
            <w:proofErr w:type="spellStart"/>
            <w:r w:rsidRPr="00F02902">
              <w:rPr>
                <w:b/>
                <w:bCs/>
                <w:sz w:val="20"/>
                <w:szCs w:val="20"/>
              </w:rPr>
              <w:t>Familia</w:t>
            </w:r>
            <w:proofErr w:type="spellEnd"/>
            <w:r w:rsidRPr="00F02902">
              <w:rPr>
                <w:b/>
                <w:bCs/>
                <w:sz w:val="20"/>
                <w:szCs w:val="20"/>
              </w:rPr>
              <w:t xml:space="preserve"> y </w:t>
            </w:r>
            <w:proofErr w:type="spellStart"/>
            <w:r w:rsidRPr="00F02902">
              <w:rPr>
                <w:b/>
                <w:bCs/>
                <w:sz w:val="20"/>
                <w:szCs w:val="20"/>
              </w:rPr>
              <w:t>Comunitaria</w:t>
            </w:r>
            <w:proofErr w:type="spellEnd"/>
            <w:r w:rsidRPr="00F02902">
              <w:rPr>
                <w:b/>
                <w:bCs/>
                <w:sz w:val="20"/>
                <w:szCs w:val="20"/>
              </w:rPr>
              <w:t xml:space="preserve"> que </w:t>
            </w:r>
            <w:proofErr w:type="spellStart"/>
            <w:r w:rsidRPr="00F02902">
              <w:rPr>
                <w:b/>
                <w:bCs/>
                <w:sz w:val="20"/>
                <w:szCs w:val="20"/>
              </w:rPr>
              <w:t>existen</w:t>
            </w:r>
            <w:proofErr w:type="spellEnd"/>
            <w:r w:rsidRPr="00F02902">
              <w:rPr>
                <w:b/>
                <w:bCs/>
                <w:sz w:val="20"/>
                <w:szCs w:val="20"/>
              </w:rPr>
              <w:t xml:space="preserve"> en España y agrupa a </w:t>
            </w:r>
            <w:proofErr w:type="spellStart"/>
            <w:r w:rsidRPr="00F02902">
              <w:rPr>
                <w:b/>
                <w:bCs/>
                <w:sz w:val="20"/>
                <w:szCs w:val="20"/>
              </w:rPr>
              <w:t>más</w:t>
            </w:r>
            <w:proofErr w:type="spellEnd"/>
            <w:r w:rsidRPr="00F02902">
              <w:rPr>
                <w:b/>
                <w:bCs/>
                <w:sz w:val="20"/>
                <w:szCs w:val="20"/>
              </w:rPr>
              <w:t xml:space="preserve"> de 22.000 </w:t>
            </w:r>
            <w:proofErr w:type="spellStart"/>
            <w:r w:rsidRPr="00F02902">
              <w:rPr>
                <w:b/>
                <w:bCs/>
                <w:sz w:val="20"/>
                <w:szCs w:val="20"/>
              </w:rPr>
              <w:t>médicos</w:t>
            </w:r>
            <w:proofErr w:type="spellEnd"/>
            <w:r w:rsidRPr="00F02902">
              <w:rPr>
                <w:b/>
                <w:bCs/>
                <w:sz w:val="20"/>
                <w:szCs w:val="20"/>
              </w:rPr>
              <w:t xml:space="preserve"> de </w:t>
            </w:r>
            <w:proofErr w:type="spellStart"/>
            <w:r w:rsidRPr="00F02902">
              <w:rPr>
                <w:b/>
                <w:bCs/>
                <w:sz w:val="20"/>
                <w:szCs w:val="20"/>
              </w:rPr>
              <w:t>familia</w:t>
            </w:r>
            <w:proofErr w:type="spellEnd"/>
            <w:r w:rsidRPr="00F02902">
              <w:rPr>
                <w:b/>
                <w:bCs/>
                <w:sz w:val="20"/>
                <w:szCs w:val="20"/>
              </w:rPr>
              <w:t xml:space="preserve">. La </w:t>
            </w:r>
            <w:proofErr w:type="spellStart"/>
            <w:r w:rsidRPr="00F02902">
              <w:rPr>
                <w:b/>
                <w:bCs/>
                <w:sz w:val="20"/>
                <w:szCs w:val="20"/>
              </w:rPr>
              <w:t>especialidad</w:t>
            </w:r>
            <w:proofErr w:type="spellEnd"/>
            <w:r w:rsidRPr="00F02902">
              <w:rPr>
                <w:b/>
                <w:bCs/>
                <w:sz w:val="20"/>
                <w:szCs w:val="20"/>
              </w:rPr>
              <w:t xml:space="preserve"> de Medicina de </w:t>
            </w:r>
            <w:proofErr w:type="spellStart"/>
            <w:r w:rsidRPr="00F02902">
              <w:rPr>
                <w:b/>
                <w:bCs/>
                <w:sz w:val="20"/>
                <w:szCs w:val="20"/>
              </w:rPr>
              <w:t>Familia</w:t>
            </w:r>
            <w:proofErr w:type="spellEnd"/>
            <w:r w:rsidRPr="00F02902">
              <w:rPr>
                <w:b/>
                <w:bCs/>
                <w:sz w:val="20"/>
                <w:szCs w:val="20"/>
              </w:rPr>
              <w:t xml:space="preserve"> </w:t>
            </w:r>
            <w:proofErr w:type="spellStart"/>
            <w:r w:rsidRPr="00F02902">
              <w:rPr>
                <w:b/>
                <w:bCs/>
                <w:sz w:val="20"/>
                <w:szCs w:val="20"/>
              </w:rPr>
              <w:t>persigue</w:t>
            </w:r>
            <w:proofErr w:type="spellEnd"/>
            <w:r w:rsidRPr="00F02902">
              <w:rPr>
                <w:b/>
                <w:bCs/>
                <w:sz w:val="20"/>
                <w:szCs w:val="20"/>
              </w:rPr>
              <w:t xml:space="preserve"> la </w:t>
            </w:r>
            <w:proofErr w:type="spellStart"/>
            <w:r w:rsidRPr="00F02902">
              <w:rPr>
                <w:b/>
                <w:bCs/>
                <w:sz w:val="20"/>
                <w:szCs w:val="20"/>
              </w:rPr>
              <w:t>mejora</w:t>
            </w:r>
            <w:proofErr w:type="spellEnd"/>
            <w:r w:rsidRPr="00F02902">
              <w:rPr>
                <w:b/>
                <w:bCs/>
                <w:sz w:val="20"/>
                <w:szCs w:val="20"/>
              </w:rPr>
              <w:t xml:space="preserve"> de la </w:t>
            </w:r>
            <w:proofErr w:type="spellStart"/>
            <w:r w:rsidRPr="00F02902">
              <w:rPr>
                <w:b/>
                <w:bCs/>
                <w:sz w:val="20"/>
                <w:szCs w:val="20"/>
              </w:rPr>
              <w:t>atención</w:t>
            </w:r>
            <w:proofErr w:type="spellEnd"/>
            <w:r w:rsidRPr="00F02902">
              <w:rPr>
                <w:b/>
                <w:bCs/>
                <w:sz w:val="20"/>
                <w:szCs w:val="20"/>
              </w:rPr>
              <w:t xml:space="preserve"> a la </w:t>
            </w:r>
            <w:proofErr w:type="spellStart"/>
            <w:r w:rsidRPr="00F02902">
              <w:rPr>
                <w:b/>
                <w:bCs/>
                <w:sz w:val="20"/>
                <w:szCs w:val="20"/>
              </w:rPr>
              <w:t>salud</w:t>
            </w:r>
            <w:proofErr w:type="spellEnd"/>
            <w:r w:rsidRPr="00F02902">
              <w:rPr>
                <w:b/>
                <w:bCs/>
                <w:sz w:val="20"/>
                <w:szCs w:val="20"/>
              </w:rPr>
              <w:t xml:space="preserve"> de los </w:t>
            </w:r>
            <w:proofErr w:type="spellStart"/>
            <w:r w:rsidRPr="00F02902">
              <w:rPr>
                <w:b/>
                <w:bCs/>
                <w:sz w:val="20"/>
                <w:szCs w:val="20"/>
              </w:rPr>
              <w:t>usuarios</w:t>
            </w:r>
            <w:proofErr w:type="spellEnd"/>
            <w:r w:rsidRPr="00F02902">
              <w:rPr>
                <w:b/>
                <w:bCs/>
                <w:sz w:val="20"/>
                <w:szCs w:val="20"/>
              </w:rPr>
              <w:t xml:space="preserve"> de la </w:t>
            </w:r>
            <w:proofErr w:type="spellStart"/>
            <w:r w:rsidRPr="00F02902">
              <w:rPr>
                <w:b/>
                <w:bCs/>
                <w:sz w:val="20"/>
                <w:szCs w:val="20"/>
              </w:rPr>
              <w:t>Sanidad</w:t>
            </w:r>
            <w:proofErr w:type="spellEnd"/>
            <w:r w:rsidRPr="00F02902">
              <w:rPr>
                <w:b/>
                <w:bCs/>
                <w:sz w:val="20"/>
                <w:szCs w:val="20"/>
              </w:rPr>
              <w:t xml:space="preserve"> Pública del Sistema Nacional de Salud a través de una </w:t>
            </w:r>
            <w:proofErr w:type="spellStart"/>
            <w:r w:rsidRPr="00F02902">
              <w:rPr>
                <w:b/>
                <w:bCs/>
                <w:sz w:val="20"/>
                <w:szCs w:val="20"/>
              </w:rPr>
              <w:t>atención</w:t>
            </w:r>
            <w:proofErr w:type="spellEnd"/>
            <w:r w:rsidRPr="00F02902">
              <w:rPr>
                <w:b/>
                <w:bCs/>
                <w:sz w:val="20"/>
                <w:szCs w:val="20"/>
              </w:rPr>
              <w:t xml:space="preserve"> </w:t>
            </w:r>
            <w:proofErr w:type="spellStart"/>
            <w:r w:rsidRPr="00F02902">
              <w:rPr>
                <w:b/>
                <w:bCs/>
                <w:sz w:val="20"/>
                <w:szCs w:val="20"/>
              </w:rPr>
              <w:t>más</w:t>
            </w:r>
            <w:proofErr w:type="spellEnd"/>
            <w:r w:rsidRPr="00F02902">
              <w:rPr>
                <w:b/>
                <w:bCs/>
                <w:sz w:val="20"/>
                <w:szCs w:val="20"/>
              </w:rPr>
              <w:t xml:space="preserve"> </w:t>
            </w:r>
            <w:proofErr w:type="spellStart"/>
            <w:r w:rsidRPr="00F02902">
              <w:rPr>
                <w:b/>
                <w:bCs/>
                <w:sz w:val="20"/>
                <w:szCs w:val="20"/>
              </w:rPr>
              <w:t>cercana</w:t>
            </w:r>
            <w:proofErr w:type="spellEnd"/>
            <w:r w:rsidRPr="00F02902">
              <w:rPr>
                <w:b/>
                <w:bCs/>
                <w:sz w:val="20"/>
                <w:szCs w:val="20"/>
              </w:rPr>
              <w:t xml:space="preserve"> a las </w:t>
            </w:r>
            <w:proofErr w:type="spellStart"/>
            <w:r w:rsidRPr="00F02902">
              <w:rPr>
                <w:b/>
                <w:bCs/>
                <w:sz w:val="20"/>
                <w:szCs w:val="20"/>
              </w:rPr>
              <w:t>personas</w:t>
            </w:r>
            <w:proofErr w:type="spellEnd"/>
            <w:r w:rsidRPr="00F02902">
              <w:rPr>
                <w:b/>
                <w:bCs/>
                <w:sz w:val="20"/>
                <w:szCs w:val="20"/>
              </w:rPr>
              <w:t xml:space="preserve">, </w:t>
            </w:r>
            <w:proofErr w:type="spellStart"/>
            <w:r w:rsidRPr="00F02902">
              <w:rPr>
                <w:b/>
                <w:bCs/>
                <w:sz w:val="20"/>
                <w:szCs w:val="20"/>
              </w:rPr>
              <w:t>su</w:t>
            </w:r>
            <w:proofErr w:type="spellEnd"/>
            <w:r w:rsidRPr="00F02902">
              <w:rPr>
                <w:b/>
                <w:bCs/>
                <w:sz w:val="20"/>
                <w:szCs w:val="20"/>
              </w:rPr>
              <w:t xml:space="preserve"> </w:t>
            </w:r>
            <w:proofErr w:type="spellStart"/>
            <w:r w:rsidRPr="00F02902">
              <w:rPr>
                <w:b/>
                <w:bCs/>
                <w:sz w:val="20"/>
                <w:szCs w:val="20"/>
              </w:rPr>
              <w:t>familia</w:t>
            </w:r>
            <w:proofErr w:type="spellEnd"/>
            <w:r w:rsidRPr="00F02902">
              <w:rPr>
                <w:b/>
                <w:bCs/>
                <w:sz w:val="20"/>
                <w:szCs w:val="20"/>
              </w:rPr>
              <w:t xml:space="preserve"> y </w:t>
            </w:r>
            <w:proofErr w:type="spellStart"/>
            <w:r w:rsidRPr="00F02902">
              <w:rPr>
                <w:b/>
                <w:bCs/>
                <w:sz w:val="20"/>
                <w:szCs w:val="20"/>
              </w:rPr>
              <w:t>su</w:t>
            </w:r>
            <w:proofErr w:type="spellEnd"/>
            <w:r w:rsidRPr="00F02902">
              <w:rPr>
                <w:b/>
                <w:bCs/>
                <w:sz w:val="20"/>
                <w:szCs w:val="20"/>
              </w:rPr>
              <w:t xml:space="preserve"> entorno </w:t>
            </w:r>
            <w:proofErr w:type="spellStart"/>
            <w:r w:rsidRPr="00F02902">
              <w:rPr>
                <w:b/>
                <w:bCs/>
                <w:sz w:val="20"/>
                <w:szCs w:val="20"/>
              </w:rPr>
              <w:t>comunitario</w:t>
            </w:r>
            <w:proofErr w:type="spellEnd"/>
            <w:r w:rsidRPr="00F02902">
              <w:rPr>
                <w:b/>
                <w:bCs/>
                <w:sz w:val="20"/>
                <w:szCs w:val="20"/>
              </w:rPr>
              <w:t xml:space="preserve">. </w:t>
            </w:r>
          </w:p>
        </w:tc>
      </w:tr>
      <w:tr w:rsidR="00F64E43" w:rsidRPr="00F02902" w14:paraId="00C44FCE" w14:textId="77777777" w:rsidTr="00277C85">
        <w:tc>
          <w:tcPr>
            <w:tcW w:w="10606" w:type="dxa"/>
            <w:gridSpan w:val="2"/>
          </w:tcPr>
          <w:p w14:paraId="33D4AB81" w14:textId="77777777" w:rsidR="00F64E43" w:rsidRPr="00F02902" w:rsidRDefault="00F64E43" w:rsidP="00F02902">
            <w:pPr>
              <w:rPr>
                <w:b/>
                <w:bCs/>
                <w:sz w:val="20"/>
                <w:szCs w:val="20"/>
              </w:rPr>
            </w:pPr>
          </w:p>
        </w:tc>
      </w:tr>
      <w:tr w:rsidR="00F64E43" w:rsidRPr="00F02902" w14:paraId="3CCF059E" w14:textId="77777777" w:rsidTr="00277C85">
        <w:tc>
          <w:tcPr>
            <w:tcW w:w="10606" w:type="dxa"/>
            <w:gridSpan w:val="2"/>
          </w:tcPr>
          <w:p w14:paraId="6088BD01" w14:textId="77777777" w:rsidR="00F02902" w:rsidRPr="00F02902" w:rsidRDefault="00F02902" w:rsidP="00F02902">
            <w:pPr>
              <w:rPr>
                <w:b/>
                <w:bCs/>
                <w:sz w:val="20"/>
                <w:szCs w:val="20"/>
              </w:rPr>
            </w:pPr>
            <w:r w:rsidRPr="00F02902">
              <w:rPr>
                <w:b/>
                <w:bCs/>
                <w:sz w:val="20"/>
                <w:szCs w:val="20"/>
              </w:rPr>
              <w:t xml:space="preserve">CONTACTO PRENSA </w:t>
            </w:r>
          </w:p>
          <w:p w14:paraId="5F543701" w14:textId="50F81951" w:rsidR="00F64E43" w:rsidRPr="00F02902" w:rsidRDefault="00F02902" w:rsidP="00F02902">
            <w:pPr>
              <w:rPr>
                <w:b/>
                <w:bCs/>
                <w:sz w:val="20"/>
                <w:szCs w:val="20"/>
              </w:rPr>
            </w:pPr>
            <w:r w:rsidRPr="00F02902">
              <w:rPr>
                <w:b/>
                <w:bCs/>
                <w:sz w:val="20"/>
                <w:szCs w:val="20"/>
              </w:rPr>
              <w:t>Anna Serrano //</w:t>
            </w:r>
            <w:r w:rsidRPr="00F02902">
              <w:rPr>
                <w:rFonts w:ascii="Arial" w:hAnsi="Arial" w:cs="Arial"/>
                <w:b/>
                <w:bCs/>
                <w:sz w:val="20"/>
                <w:szCs w:val="20"/>
              </w:rPr>
              <w:t> </w:t>
            </w:r>
            <w:r w:rsidRPr="00F02902">
              <w:rPr>
                <w:b/>
                <w:bCs/>
                <w:sz w:val="20"/>
                <w:szCs w:val="20"/>
              </w:rPr>
              <w:t xml:space="preserve">+34679509941 // </w:t>
            </w:r>
            <w:hyperlink r:id="rId9" w:history="1">
              <w:r w:rsidRPr="00F02902">
                <w:rPr>
                  <w:rStyle w:val="Enlla"/>
                  <w:b/>
                  <w:bCs/>
                  <w:sz w:val="20"/>
                  <w:szCs w:val="20"/>
                </w:rPr>
                <w:t>comunicacion@semfyc.es</w:t>
              </w:r>
            </w:hyperlink>
            <w:r w:rsidRPr="00F02902">
              <w:rPr>
                <w:b/>
                <w:bCs/>
                <w:sz w:val="20"/>
                <w:szCs w:val="20"/>
              </w:rPr>
              <w:t xml:space="preserve"> </w:t>
            </w:r>
          </w:p>
        </w:tc>
      </w:tr>
      <w:tr w:rsidR="00F64E43" w:rsidRPr="00F64E43" w14:paraId="54A04941" w14:textId="77777777" w:rsidTr="00277C85">
        <w:tc>
          <w:tcPr>
            <w:tcW w:w="10606" w:type="dxa"/>
            <w:gridSpan w:val="2"/>
          </w:tcPr>
          <w:p w14:paraId="4CFB029E" w14:textId="77777777" w:rsidR="00F64E43" w:rsidRPr="00F64E43" w:rsidRDefault="00F64E43" w:rsidP="00F64E43"/>
        </w:tc>
      </w:tr>
    </w:tbl>
    <w:p w14:paraId="1885E96F" w14:textId="77777777" w:rsidR="001C3025" w:rsidRPr="001A3E6E" w:rsidRDefault="001C3025" w:rsidP="001C3025">
      <w:pPr>
        <w:rPr>
          <w:lang w:val="es-ES"/>
        </w:rPr>
      </w:pPr>
    </w:p>
    <w:p w14:paraId="6A199315" w14:textId="77777777" w:rsidR="004D620D" w:rsidRPr="001C3025" w:rsidRDefault="004D620D">
      <w:pPr>
        <w:rPr>
          <w:lang w:val="es-ES"/>
        </w:rPr>
      </w:pPr>
    </w:p>
    <w:sectPr w:rsidR="004D620D" w:rsidRPr="001C3025" w:rsidSect="00F64E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D039E"/>
    <w:multiLevelType w:val="hybridMultilevel"/>
    <w:tmpl w:val="BFF4A5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63987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2FBE"/>
    <w:rsid w:val="000A118B"/>
    <w:rsid w:val="001C3025"/>
    <w:rsid w:val="00277C85"/>
    <w:rsid w:val="002B2FBE"/>
    <w:rsid w:val="00367A55"/>
    <w:rsid w:val="004D620D"/>
    <w:rsid w:val="006064D5"/>
    <w:rsid w:val="00755DA7"/>
    <w:rsid w:val="008E702D"/>
    <w:rsid w:val="009945B2"/>
    <w:rsid w:val="00995ECC"/>
    <w:rsid w:val="00BF40D6"/>
    <w:rsid w:val="00C874FA"/>
    <w:rsid w:val="00D17EE8"/>
    <w:rsid w:val="00DE458B"/>
    <w:rsid w:val="00DF3C76"/>
    <w:rsid w:val="00F02902"/>
    <w:rsid w:val="00F64E43"/>
    <w:rsid w:val="21009C37"/>
    <w:rsid w:val="21D22908"/>
    <w:rsid w:val="4317765B"/>
    <w:rsid w:val="55F27532"/>
    <w:rsid w:val="66FA394E"/>
    <w:rsid w:val="6CF0B677"/>
    <w:rsid w:val="79B999C8"/>
    <w:rsid w:val="7A6701E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33E3"/>
  <w15:chartTrackingRefBased/>
  <w15:docId w15:val="{A4EBFE81-97D5-4737-9425-0F090C6C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25"/>
  </w:style>
  <w:style w:type="paragraph" w:styleId="Ttol1">
    <w:name w:val="heading 1"/>
    <w:basedOn w:val="Normal"/>
    <w:next w:val="Normal"/>
    <w:link w:val="Ttol1Car"/>
    <w:uiPriority w:val="9"/>
    <w:qFormat/>
    <w:rsid w:val="002B2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unhideWhenUsed/>
    <w:qFormat/>
    <w:rsid w:val="002B2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unhideWhenUsed/>
    <w:qFormat/>
    <w:rsid w:val="00DE458B"/>
    <w:pPr>
      <w:keepNext/>
      <w:keepLines/>
      <w:spacing w:before="160" w:after="80" w:line="240" w:lineRule="auto"/>
      <w:jc w:val="center"/>
      <w:outlineLvl w:val="2"/>
    </w:pPr>
    <w:rPr>
      <w:rFonts w:eastAsiaTheme="majorEastAsia" w:cstheme="majorBidi"/>
      <w:b/>
      <w:bCs/>
      <w:color w:val="000000" w:themeColor="text1"/>
      <w:sz w:val="24"/>
      <w:szCs w:val="24"/>
    </w:rPr>
  </w:style>
  <w:style w:type="paragraph" w:styleId="Ttol4">
    <w:name w:val="heading 4"/>
    <w:basedOn w:val="Normal"/>
    <w:next w:val="Normal"/>
    <w:link w:val="Ttol4Car"/>
    <w:uiPriority w:val="9"/>
    <w:semiHidden/>
    <w:unhideWhenUsed/>
    <w:qFormat/>
    <w:rsid w:val="002B2FBE"/>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2B2FBE"/>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2B2FBE"/>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2B2FBE"/>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2B2FBE"/>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2B2FBE"/>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2B2FBE"/>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rsid w:val="002B2FBE"/>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rsid w:val="00DE458B"/>
    <w:rPr>
      <w:rFonts w:eastAsiaTheme="majorEastAsia" w:cstheme="majorBidi"/>
      <w:b/>
      <w:bCs/>
      <w:color w:val="000000" w:themeColor="text1"/>
      <w:sz w:val="24"/>
      <w:szCs w:val="24"/>
    </w:rPr>
  </w:style>
  <w:style w:type="character" w:customStyle="1" w:styleId="Ttol4Car">
    <w:name w:val="Títol 4 Car"/>
    <w:basedOn w:val="Lletraperdefectedelpargraf"/>
    <w:link w:val="Ttol4"/>
    <w:uiPriority w:val="9"/>
    <w:semiHidden/>
    <w:rsid w:val="002B2FBE"/>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2B2FBE"/>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2B2FBE"/>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2B2FBE"/>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2B2FBE"/>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2B2FBE"/>
    <w:rPr>
      <w:rFonts w:eastAsiaTheme="majorEastAsia" w:cstheme="majorBidi"/>
      <w:color w:val="272727" w:themeColor="text1" w:themeTint="D8"/>
    </w:rPr>
  </w:style>
  <w:style w:type="paragraph" w:styleId="Ttol">
    <w:name w:val="Title"/>
    <w:basedOn w:val="Normal"/>
    <w:next w:val="Normal"/>
    <w:link w:val="TtolCar"/>
    <w:uiPriority w:val="10"/>
    <w:qFormat/>
    <w:rsid w:val="00D17EE8"/>
    <w:pPr>
      <w:spacing w:after="80" w:line="240" w:lineRule="auto"/>
      <w:contextualSpacing/>
      <w:jc w:val="center"/>
    </w:pPr>
    <w:rPr>
      <w:rFonts w:asciiTheme="majorHAnsi" w:eastAsiaTheme="majorEastAsia" w:hAnsiTheme="majorHAnsi" w:cstheme="majorBidi"/>
      <w:b/>
      <w:bCs/>
      <w:spacing w:val="-10"/>
      <w:kern w:val="28"/>
      <w:sz w:val="44"/>
      <w:szCs w:val="44"/>
      <w:lang w:val="es-ES"/>
    </w:rPr>
  </w:style>
  <w:style w:type="character" w:customStyle="1" w:styleId="TtolCar">
    <w:name w:val="Títol Car"/>
    <w:basedOn w:val="Lletraperdefectedelpargraf"/>
    <w:link w:val="Ttol"/>
    <w:uiPriority w:val="10"/>
    <w:rsid w:val="00D17EE8"/>
    <w:rPr>
      <w:rFonts w:asciiTheme="majorHAnsi" w:eastAsiaTheme="majorEastAsia" w:hAnsiTheme="majorHAnsi" w:cstheme="majorBidi"/>
      <w:b/>
      <w:bCs/>
      <w:spacing w:val="-10"/>
      <w:kern w:val="28"/>
      <w:sz w:val="44"/>
      <w:szCs w:val="44"/>
      <w:lang w:val="es-ES"/>
    </w:rPr>
  </w:style>
  <w:style w:type="paragraph" w:styleId="Subttol">
    <w:name w:val="Subtitle"/>
    <w:basedOn w:val="Normal"/>
    <w:next w:val="Normal"/>
    <w:link w:val="SubttolCar"/>
    <w:uiPriority w:val="11"/>
    <w:qFormat/>
    <w:rsid w:val="002B2FBE"/>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2B2F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2FBE"/>
    <w:pPr>
      <w:spacing w:before="160"/>
      <w:jc w:val="center"/>
    </w:pPr>
    <w:rPr>
      <w:i/>
      <w:iCs/>
      <w:color w:val="404040" w:themeColor="text1" w:themeTint="BF"/>
    </w:rPr>
  </w:style>
  <w:style w:type="character" w:customStyle="1" w:styleId="CitaCar">
    <w:name w:val="Cita Car"/>
    <w:basedOn w:val="Lletraperdefectedelpargraf"/>
    <w:link w:val="Cita"/>
    <w:uiPriority w:val="29"/>
    <w:rsid w:val="002B2FBE"/>
    <w:rPr>
      <w:i/>
      <w:iCs/>
      <w:color w:val="404040" w:themeColor="text1" w:themeTint="BF"/>
    </w:rPr>
  </w:style>
  <w:style w:type="paragraph" w:styleId="Pargrafdellista">
    <w:name w:val="List Paragraph"/>
    <w:basedOn w:val="Normal"/>
    <w:uiPriority w:val="34"/>
    <w:qFormat/>
    <w:rsid w:val="002B2FBE"/>
    <w:pPr>
      <w:ind w:left="720"/>
      <w:contextualSpacing/>
    </w:pPr>
  </w:style>
  <w:style w:type="character" w:styleId="mfasiintens">
    <w:name w:val="Intense Emphasis"/>
    <w:basedOn w:val="Lletraperdefectedelpargraf"/>
    <w:uiPriority w:val="21"/>
    <w:qFormat/>
    <w:rsid w:val="002B2FBE"/>
    <w:rPr>
      <w:i/>
      <w:iCs/>
      <w:color w:val="0F4761" w:themeColor="accent1" w:themeShade="BF"/>
    </w:rPr>
  </w:style>
  <w:style w:type="paragraph" w:styleId="Citaintensa">
    <w:name w:val="Intense Quote"/>
    <w:basedOn w:val="Normal"/>
    <w:next w:val="Normal"/>
    <w:link w:val="CitaintensaCar"/>
    <w:uiPriority w:val="30"/>
    <w:qFormat/>
    <w:rsid w:val="002B2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2B2FBE"/>
    <w:rPr>
      <w:i/>
      <w:iCs/>
      <w:color w:val="0F4761" w:themeColor="accent1" w:themeShade="BF"/>
    </w:rPr>
  </w:style>
  <w:style w:type="character" w:styleId="Refernciaintensa">
    <w:name w:val="Intense Reference"/>
    <w:basedOn w:val="Lletraperdefectedelpargraf"/>
    <w:uiPriority w:val="32"/>
    <w:qFormat/>
    <w:rsid w:val="002B2FBE"/>
    <w:rPr>
      <w:b/>
      <w:bCs/>
      <w:smallCaps/>
      <w:color w:val="0F4761" w:themeColor="accent1" w:themeShade="BF"/>
      <w:spacing w:val="5"/>
    </w:rPr>
  </w:style>
  <w:style w:type="paragraph" w:styleId="Revisi">
    <w:name w:val="Revision"/>
    <w:hidden/>
    <w:uiPriority w:val="99"/>
    <w:semiHidden/>
    <w:rsid w:val="00C874FA"/>
    <w:pPr>
      <w:spacing w:after="0" w:line="240" w:lineRule="auto"/>
    </w:pPr>
  </w:style>
  <w:style w:type="table" w:styleId="Taulaambquadrcula">
    <w:name w:val="Table Grid"/>
    <w:basedOn w:val="Taulanormal"/>
    <w:uiPriority w:val="39"/>
    <w:rsid w:val="00F6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F02902"/>
    <w:rPr>
      <w:color w:val="467886" w:themeColor="hyperlink"/>
      <w:u w:val="single"/>
    </w:rPr>
  </w:style>
  <w:style w:type="character" w:styleId="Mencisenseresoldre">
    <w:name w:val="Unresolved Mention"/>
    <w:basedOn w:val="Lletraperdefectedelpargraf"/>
    <w:uiPriority w:val="99"/>
    <w:semiHidden/>
    <w:unhideWhenUsed/>
    <w:rsid w:val="00F0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unicacion@semfy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70ddd7-8ba0-442d-b535-9555c382f3f6" xsi:nil="true"/>
    <lcf76f155ced4ddcb4097134ff3c332f xmlns="742f52fa-dc08-4cd1-b121-aebcb2b789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8CC64BDD7D35D428623D2255DC8A73A" ma:contentTypeVersion="15" ma:contentTypeDescription="Crear nuevo documento." ma:contentTypeScope="" ma:versionID="27e34dadbb444b509e0891e63e7df601">
  <xsd:schema xmlns:xsd="http://www.w3.org/2001/XMLSchema" xmlns:xs="http://www.w3.org/2001/XMLSchema" xmlns:p="http://schemas.microsoft.com/office/2006/metadata/properties" xmlns:ns2="742f52fa-dc08-4cd1-b121-aebcb2b789de" xmlns:ns3="a270ddd7-8ba0-442d-b535-9555c382f3f6" targetNamespace="http://schemas.microsoft.com/office/2006/metadata/properties" ma:root="true" ma:fieldsID="492ebcd5c8655dae2e04e16180daa257" ns2:_="" ns3:_="">
    <xsd:import namespace="742f52fa-dc08-4cd1-b121-aebcb2b789de"/>
    <xsd:import namespace="a270ddd7-8ba0-442d-b535-9555c382f3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f52fa-dc08-4cd1-b121-aebcb2b78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efc87c4-b8a1-4e14-89d5-8cccd24c9e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0ddd7-8ba0-442d-b535-9555c382f3f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136a120a-2972-4bc4-96fb-3aa321ddc571}" ma:internalName="TaxCatchAll" ma:showField="CatchAllData" ma:web="a270ddd7-8ba0-442d-b535-9555c382f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1AF16-05CF-4101-B2E2-315E45F93954}">
  <ds:schemaRefs>
    <ds:schemaRef ds:uri="http://schemas.microsoft.com/sharepoint/v3/contenttype/forms"/>
  </ds:schemaRefs>
</ds:datastoreItem>
</file>

<file path=customXml/itemProps2.xml><?xml version="1.0" encoding="utf-8"?>
<ds:datastoreItem xmlns:ds="http://schemas.openxmlformats.org/officeDocument/2006/customXml" ds:itemID="{84AD80E8-BE20-471E-82D9-F49A888D4B76}">
  <ds:schemaRefs>
    <ds:schemaRef ds:uri="http://schemas.microsoft.com/office/2006/metadata/properties"/>
    <ds:schemaRef ds:uri="http://schemas.microsoft.com/office/infopath/2007/PartnerControls"/>
    <ds:schemaRef ds:uri="a270ddd7-8ba0-442d-b535-9555c382f3f6"/>
    <ds:schemaRef ds:uri="742f52fa-dc08-4cd1-b121-aebcb2b789de"/>
  </ds:schemaRefs>
</ds:datastoreItem>
</file>

<file path=customXml/itemProps3.xml><?xml version="1.0" encoding="utf-8"?>
<ds:datastoreItem xmlns:ds="http://schemas.openxmlformats.org/officeDocument/2006/customXml" ds:itemID="{6A4F94EC-6718-4C7A-9979-7F2D4173B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f52fa-dc08-4cd1-b121-aebcb2b789de"/>
    <ds:schemaRef ds:uri="a270ddd7-8ba0-442d-b535-9555c382f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semFYC</dc:creator>
  <cp:keywords/>
  <dc:description/>
  <cp:lastModifiedBy>Comunicación semFYC</cp:lastModifiedBy>
  <cp:revision>14</cp:revision>
  <dcterms:created xsi:type="dcterms:W3CDTF">2025-02-18T11:52:00Z</dcterms:created>
  <dcterms:modified xsi:type="dcterms:W3CDTF">2025-02-24T14:15:00Z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0x01010048CC64BDD7D35D428623D2255DC8A73A</vt:lpwstr>
  </property>
  <property fmtid="{D5CDD505-2E9C-101B-9397-08002B2CF9AE}" pid="3" name="MediaServiceImageTags">
    <vt:lpwstr/>
  </property>
</Properties>
</file>